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17"/>
        <w:gridCol w:w="1467"/>
        <w:gridCol w:w="1544"/>
        <w:gridCol w:w="1554"/>
        <w:gridCol w:w="1550"/>
      </w:tblGrid>
      <w:tr w:rsidR="00B1135B" w14:paraId="31B4AE35" w14:textId="77777777" w:rsidTr="00E57CF8">
        <w:tc>
          <w:tcPr>
            <w:tcW w:w="1618" w:type="dxa"/>
          </w:tcPr>
          <w:p w14:paraId="14F940C8" w14:textId="42B5A045" w:rsidR="00B1135B" w:rsidRDefault="006D7692">
            <w:r>
              <w:t>Study</w:t>
            </w:r>
          </w:p>
        </w:tc>
        <w:tc>
          <w:tcPr>
            <w:tcW w:w="1617" w:type="dxa"/>
          </w:tcPr>
          <w:p w14:paraId="0B39C2AC" w14:textId="1FFBE33E" w:rsidR="00B1135B" w:rsidRDefault="00B1135B">
            <w:r>
              <w:t>Decline in output, peak to trough (%)</w:t>
            </w:r>
          </w:p>
          <w:p w14:paraId="3936EEC1" w14:textId="41EDE905" w:rsidR="00B1135B" w:rsidRDefault="00B1135B"/>
        </w:tc>
        <w:tc>
          <w:tcPr>
            <w:tcW w:w="1467" w:type="dxa"/>
          </w:tcPr>
          <w:p w14:paraId="0B724180" w14:textId="1B446F24" w:rsidR="00B1135B" w:rsidRDefault="00B1135B">
            <w:r>
              <w:t>Duration of recession</w:t>
            </w:r>
          </w:p>
        </w:tc>
        <w:tc>
          <w:tcPr>
            <w:tcW w:w="1544" w:type="dxa"/>
          </w:tcPr>
          <w:p w14:paraId="394787BE" w14:textId="3C1EBBAE" w:rsidR="00B1135B" w:rsidRDefault="00B1135B">
            <w:r>
              <w:t>Recovery of output to previous peak</w:t>
            </w:r>
          </w:p>
        </w:tc>
        <w:tc>
          <w:tcPr>
            <w:tcW w:w="1554" w:type="dxa"/>
          </w:tcPr>
          <w:p w14:paraId="082F5F5D" w14:textId="233B609D" w:rsidR="00B1135B" w:rsidRDefault="00E57CF8">
            <w:r>
              <w:t>Equity price or house price declines</w:t>
            </w:r>
            <w:r w:rsidR="00ED0438">
              <w:t xml:space="preserve"> (</w:t>
            </w:r>
            <w:r w:rsidR="00542BE2">
              <w:t xml:space="preserve">peak-to-trough, </w:t>
            </w:r>
            <w:r w:rsidR="00ED0438">
              <w:t>%)</w:t>
            </w:r>
          </w:p>
        </w:tc>
        <w:tc>
          <w:tcPr>
            <w:tcW w:w="1550" w:type="dxa"/>
          </w:tcPr>
          <w:p w14:paraId="1C6A365F" w14:textId="57C3F8B5" w:rsidR="00B1135B" w:rsidRDefault="00B1135B">
            <w:r>
              <w:t>Sample period</w:t>
            </w:r>
            <w:r w:rsidR="00E57CF8">
              <w:t xml:space="preserve"> and characteristics</w:t>
            </w:r>
          </w:p>
        </w:tc>
      </w:tr>
      <w:tr w:rsidR="00B1135B" w14:paraId="44091255" w14:textId="77777777" w:rsidTr="006D7692">
        <w:tc>
          <w:tcPr>
            <w:tcW w:w="1618" w:type="dxa"/>
            <w:shd w:val="clear" w:color="auto" w:fill="FFFF00"/>
          </w:tcPr>
          <w:p w14:paraId="7B8BFCF8" w14:textId="0E7F6C77" w:rsidR="00B1135B" w:rsidRPr="006D7692" w:rsidRDefault="00B1135B">
            <w:pPr>
              <w:rPr>
                <w:vertAlign w:val="superscript"/>
              </w:rPr>
            </w:pPr>
            <w:r w:rsidRPr="006D7692">
              <w:t>Reinhart and Rogoff (2014)</w:t>
            </w:r>
            <w:r w:rsidR="00712ADA" w:rsidRPr="006D7692">
              <w:rPr>
                <w:vertAlign w:val="superscript"/>
              </w:rPr>
              <w:t>1</w:t>
            </w:r>
          </w:p>
        </w:tc>
        <w:tc>
          <w:tcPr>
            <w:tcW w:w="1617" w:type="dxa"/>
            <w:shd w:val="clear" w:color="auto" w:fill="FFFF00"/>
          </w:tcPr>
          <w:p w14:paraId="4474AE81" w14:textId="11111ADB" w:rsidR="00B1135B" w:rsidRPr="006D7692" w:rsidRDefault="00B1135B">
            <w:r w:rsidRPr="006D7692">
              <w:t>-9.6</w:t>
            </w:r>
            <w:r w:rsidR="006D7692">
              <w:t>%</w:t>
            </w:r>
            <w:r w:rsidRPr="006D7692">
              <w:t xml:space="preserve"> real GDP</w:t>
            </w:r>
            <w:r w:rsidR="00E57CF8" w:rsidRPr="006D7692">
              <w:t xml:space="preserve"> per capita</w:t>
            </w:r>
          </w:p>
        </w:tc>
        <w:tc>
          <w:tcPr>
            <w:tcW w:w="1467" w:type="dxa"/>
            <w:shd w:val="clear" w:color="auto" w:fill="FFFF00"/>
          </w:tcPr>
          <w:p w14:paraId="4B5760CE" w14:textId="24D94CD7" w:rsidR="00B1135B" w:rsidRPr="006D7692" w:rsidRDefault="00E57CF8">
            <w:r w:rsidRPr="006D7692">
              <w:t>2.9 years</w:t>
            </w:r>
          </w:p>
        </w:tc>
        <w:tc>
          <w:tcPr>
            <w:tcW w:w="1544" w:type="dxa"/>
            <w:shd w:val="clear" w:color="auto" w:fill="FFFF00"/>
          </w:tcPr>
          <w:p w14:paraId="7229A5C9" w14:textId="232FF985" w:rsidR="00B1135B" w:rsidRPr="006D7692" w:rsidRDefault="00E57CF8">
            <w:r w:rsidRPr="006D7692">
              <w:t>7.3 years</w:t>
            </w:r>
          </w:p>
        </w:tc>
        <w:tc>
          <w:tcPr>
            <w:tcW w:w="1554" w:type="dxa"/>
            <w:shd w:val="clear" w:color="auto" w:fill="FFFF00"/>
          </w:tcPr>
          <w:p w14:paraId="42C9FFE3" w14:textId="2BCF7DD9" w:rsidR="00B1135B" w:rsidRPr="006D7692" w:rsidRDefault="00B1135B"/>
        </w:tc>
        <w:tc>
          <w:tcPr>
            <w:tcW w:w="1550" w:type="dxa"/>
            <w:shd w:val="clear" w:color="auto" w:fill="FFFF00"/>
          </w:tcPr>
          <w:p w14:paraId="5A6A88A5" w14:textId="6B9E1737" w:rsidR="00B1135B" w:rsidRPr="006D7692" w:rsidRDefault="00E57CF8">
            <w:r w:rsidRPr="006D7692">
              <w:t xml:space="preserve">63 in </w:t>
            </w:r>
            <w:r w:rsidR="00B1135B" w:rsidRPr="006D7692">
              <w:t>Advanced economies, 185</w:t>
            </w:r>
            <w:r w:rsidRPr="006D7692">
              <w:t>7</w:t>
            </w:r>
            <w:r w:rsidR="00B1135B" w:rsidRPr="006D7692">
              <w:t xml:space="preserve"> to </w:t>
            </w:r>
            <w:r w:rsidRPr="006D7692">
              <w:t>2013</w:t>
            </w:r>
          </w:p>
        </w:tc>
      </w:tr>
      <w:tr w:rsidR="00B1135B" w14:paraId="61CDDED0" w14:textId="77777777" w:rsidTr="00E57CF8">
        <w:tc>
          <w:tcPr>
            <w:tcW w:w="1618" w:type="dxa"/>
          </w:tcPr>
          <w:p w14:paraId="15017647" w14:textId="4F9D1330" w:rsidR="00B1135B" w:rsidRPr="00712ADA" w:rsidRDefault="00B1135B">
            <w:pPr>
              <w:rPr>
                <w:vertAlign w:val="superscript"/>
              </w:rPr>
            </w:pPr>
            <w:r>
              <w:t>Reinhart and Rogoff (2014)</w:t>
            </w:r>
            <w:r w:rsidR="00712ADA">
              <w:rPr>
                <w:vertAlign w:val="superscript"/>
              </w:rPr>
              <w:t>1</w:t>
            </w:r>
          </w:p>
          <w:p w14:paraId="2B113267" w14:textId="364876C7" w:rsidR="00E57CF8" w:rsidRDefault="00E57CF8"/>
        </w:tc>
        <w:tc>
          <w:tcPr>
            <w:tcW w:w="1617" w:type="dxa"/>
          </w:tcPr>
          <w:p w14:paraId="4DC765FF" w14:textId="58400D36" w:rsidR="00B1135B" w:rsidRDefault="00E57CF8">
            <w:r>
              <w:t>-11.5</w:t>
            </w:r>
            <w:r w:rsidR="006D7692">
              <w:t>%</w:t>
            </w:r>
            <w:r>
              <w:t xml:space="preserve"> real GDP per capita </w:t>
            </w:r>
          </w:p>
        </w:tc>
        <w:tc>
          <w:tcPr>
            <w:tcW w:w="1467" w:type="dxa"/>
          </w:tcPr>
          <w:p w14:paraId="75A0B389" w14:textId="6BB496B1" w:rsidR="00B1135B" w:rsidRDefault="00E57CF8">
            <w:r>
              <w:t>3.2 years</w:t>
            </w:r>
          </w:p>
        </w:tc>
        <w:tc>
          <w:tcPr>
            <w:tcW w:w="1544" w:type="dxa"/>
          </w:tcPr>
          <w:p w14:paraId="31148F0C" w14:textId="4AEA2AF6" w:rsidR="00B1135B" w:rsidRDefault="00E57CF8">
            <w:r>
              <w:t>8.3 years</w:t>
            </w:r>
          </w:p>
        </w:tc>
        <w:tc>
          <w:tcPr>
            <w:tcW w:w="1554" w:type="dxa"/>
          </w:tcPr>
          <w:p w14:paraId="7CC097FF" w14:textId="521BC4E6" w:rsidR="00B1135B" w:rsidRDefault="00B1135B"/>
        </w:tc>
        <w:tc>
          <w:tcPr>
            <w:tcW w:w="1550" w:type="dxa"/>
          </w:tcPr>
          <w:p w14:paraId="03940D46" w14:textId="4BD45C71" w:rsidR="00B1135B" w:rsidRDefault="00E57CF8">
            <w:r>
              <w:t>100 in AEs and EMEs, 1857 to 2013</w:t>
            </w:r>
          </w:p>
        </w:tc>
      </w:tr>
      <w:tr w:rsidR="00E57CF8" w14:paraId="18F231B6" w14:textId="77777777" w:rsidTr="00E57CF8">
        <w:tc>
          <w:tcPr>
            <w:tcW w:w="1618" w:type="dxa"/>
          </w:tcPr>
          <w:p w14:paraId="4E172EAD" w14:textId="36D81C9A" w:rsidR="00E57CF8" w:rsidRPr="00712ADA" w:rsidRDefault="00E57CF8" w:rsidP="00E57CF8">
            <w:pPr>
              <w:rPr>
                <w:vertAlign w:val="superscript"/>
              </w:rPr>
            </w:pPr>
            <w:r>
              <w:t>Reinhart and Rogoff (2009)</w:t>
            </w:r>
            <w:r w:rsidR="00712ADA">
              <w:rPr>
                <w:vertAlign w:val="superscript"/>
              </w:rPr>
              <w:t>2</w:t>
            </w:r>
          </w:p>
          <w:p w14:paraId="47B0CD43" w14:textId="77777777" w:rsidR="00E57CF8" w:rsidRDefault="00E57CF8"/>
        </w:tc>
        <w:tc>
          <w:tcPr>
            <w:tcW w:w="1617" w:type="dxa"/>
          </w:tcPr>
          <w:p w14:paraId="64BF66B1" w14:textId="2C47BFAA" w:rsidR="00E57CF8" w:rsidRDefault="001F2B73">
            <w:r>
              <w:t>-9.3</w:t>
            </w:r>
            <w:r w:rsidR="006D7692">
              <w:t>%</w:t>
            </w:r>
            <w:r>
              <w:t xml:space="preserve"> percent real GDP per capita</w:t>
            </w:r>
          </w:p>
        </w:tc>
        <w:tc>
          <w:tcPr>
            <w:tcW w:w="1467" w:type="dxa"/>
          </w:tcPr>
          <w:p w14:paraId="1DD38EF6" w14:textId="53C622F1" w:rsidR="00E57CF8" w:rsidRDefault="001F2B73">
            <w:r>
              <w:t xml:space="preserve">1.9 years </w:t>
            </w:r>
          </w:p>
        </w:tc>
        <w:tc>
          <w:tcPr>
            <w:tcW w:w="1544" w:type="dxa"/>
          </w:tcPr>
          <w:p w14:paraId="5820341B" w14:textId="77777777" w:rsidR="00E57CF8" w:rsidRDefault="00E57CF8"/>
        </w:tc>
        <w:tc>
          <w:tcPr>
            <w:tcW w:w="1554" w:type="dxa"/>
          </w:tcPr>
          <w:p w14:paraId="270699CF" w14:textId="7159A0A4" w:rsidR="00E57CF8" w:rsidRDefault="00ED0438">
            <w:r>
              <w:t>-35</w:t>
            </w:r>
            <w:r w:rsidR="006D7692">
              <w:t>%</w:t>
            </w:r>
            <w:r>
              <w:t xml:space="preserve"> house price</w:t>
            </w:r>
          </w:p>
          <w:p w14:paraId="36BBD9C6" w14:textId="057D8FA0" w:rsidR="00446C68" w:rsidRDefault="00446C68"/>
          <w:p w14:paraId="3CFB8F85" w14:textId="1060924C" w:rsidR="00446C68" w:rsidRDefault="00446C68"/>
          <w:p w14:paraId="63D924E8" w14:textId="77777777" w:rsidR="00446C68" w:rsidRDefault="00446C68"/>
          <w:p w14:paraId="667BC73F" w14:textId="1674A5D9" w:rsidR="00ED0438" w:rsidRDefault="00ED0438">
            <w:r>
              <w:t>-56</w:t>
            </w:r>
            <w:r w:rsidR="006D7692">
              <w:t>%</w:t>
            </w:r>
            <w:r>
              <w:t xml:space="preserve"> equity price</w:t>
            </w:r>
          </w:p>
        </w:tc>
        <w:tc>
          <w:tcPr>
            <w:tcW w:w="1550" w:type="dxa"/>
          </w:tcPr>
          <w:p w14:paraId="426712E2" w14:textId="32C620D2" w:rsidR="00E57CF8" w:rsidRDefault="001F2B73">
            <w:r>
              <w:t>15</w:t>
            </w:r>
            <w:r w:rsidR="00FB775A">
              <w:t xml:space="preserve"> banking crises</w:t>
            </w:r>
            <w:r w:rsidR="00B41F67">
              <w:t xml:space="preserve"> in </w:t>
            </w:r>
            <w:r w:rsidR="00A710E1">
              <w:t>14 countries</w:t>
            </w:r>
            <w:r w:rsidR="00FB775A">
              <w:t>, 1899 to 2001</w:t>
            </w:r>
          </w:p>
          <w:p w14:paraId="10D5CB65" w14:textId="77777777" w:rsidR="00ED0438" w:rsidRDefault="00ED0438"/>
          <w:p w14:paraId="3597BB1E" w14:textId="7EAFC97D" w:rsidR="00ED0438" w:rsidRDefault="00ED0438" w:rsidP="00FB775A">
            <w:r>
              <w:t xml:space="preserve">14 </w:t>
            </w:r>
            <w:r w:rsidR="00A710E1">
              <w:t>banking crises</w:t>
            </w:r>
            <w:r w:rsidR="00B41F67">
              <w:t xml:space="preserve"> in 14 countries</w:t>
            </w:r>
            <w:r w:rsidR="00A710E1">
              <w:t>, 1929 to 2001</w:t>
            </w:r>
          </w:p>
        </w:tc>
      </w:tr>
      <w:tr w:rsidR="00B1135B" w14:paraId="21F8BC90" w14:textId="77777777" w:rsidTr="00E57CF8">
        <w:tc>
          <w:tcPr>
            <w:tcW w:w="1618" w:type="dxa"/>
          </w:tcPr>
          <w:p w14:paraId="3EF3ECA8" w14:textId="1C30BDF7" w:rsidR="00B1135B" w:rsidRDefault="00B1135B">
            <w:proofErr w:type="spellStart"/>
            <w:r>
              <w:t>Claessens,Kose</w:t>
            </w:r>
            <w:proofErr w:type="spellEnd"/>
            <w:r>
              <w:t xml:space="preserve">, and </w:t>
            </w:r>
            <w:proofErr w:type="spellStart"/>
            <w:r>
              <w:t>Terrones</w:t>
            </w:r>
            <w:proofErr w:type="spellEnd"/>
            <w:r>
              <w:t xml:space="preserve"> (2013)</w:t>
            </w:r>
            <w:r w:rsidR="00BD35E3">
              <w:rPr>
                <w:vertAlign w:val="superscript"/>
              </w:rPr>
              <w:t>4</w:t>
            </w:r>
          </w:p>
          <w:p w14:paraId="31E9CE18" w14:textId="5C1F7C64" w:rsidR="00B1135B" w:rsidRDefault="00B1135B"/>
        </w:tc>
        <w:tc>
          <w:tcPr>
            <w:tcW w:w="1617" w:type="dxa"/>
          </w:tcPr>
          <w:p w14:paraId="71944436" w14:textId="57909793" w:rsidR="00B1135B" w:rsidRDefault="00B1135B">
            <w:r>
              <w:t>-3.28</w:t>
            </w:r>
            <w:r w:rsidR="006D7692">
              <w:t>%</w:t>
            </w:r>
            <w:r>
              <w:t xml:space="preserve"> real GDP</w:t>
            </w:r>
          </w:p>
        </w:tc>
        <w:tc>
          <w:tcPr>
            <w:tcW w:w="1467" w:type="dxa"/>
          </w:tcPr>
          <w:p w14:paraId="6009AF1F" w14:textId="020E2F69" w:rsidR="00B1135B" w:rsidRDefault="00B1135B">
            <w:r>
              <w:t>5.7 quarters</w:t>
            </w:r>
          </w:p>
        </w:tc>
        <w:tc>
          <w:tcPr>
            <w:tcW w:w="1544" w:type="dxa"/>
          </w:tcPr>
          <w:p w14:paraId="6E901A7D" w14:textId="24511E0B" w:rsidR="00B1135B" w:rsidRDefault="00E57CF8">
            <w:r>
              <w:t>NA</w:t>
            </w:r>
          </w:p>
        </w:tc>
        <w:tc>
          <w:tcPr>
            <w:tcW w:w="1554" w:type="dxa"/>
          </w:tcPr>
          <w:p w14:paraId="0E102CB6" w14:textId="140B2976" w:rsidR="00B1135B" w:rsidRDefault="00E57CF8">
            <w:r>
              <w:t>-8.7</w:t>
            </w:r>
            <w:r w:rsidR="006D7692">
              <w:t>%</w:t>
            </w:r>
            <w:r>
              <w:t xml:space="preserve"> house price</w:t>
            </w:r>
          </w:p>
          <w:p w14:paraId="295532A2" w14:textId="0B424D1E" w:rsidR="00E57CF8" w:rsidRDefault="00E57CF8">
            <w:r>
              <w:t>-8.7</w:t>
            </w:r>
            <w:r w:rsidR="006D7692">
              <w:t>%</w:t>
            </w:r>
            <w:r>
              <w:t xml:space="preserve"> equity price</w:t>
            </w:r>
          </w:p>
        </w:tc>
        <w:tc>
          <w:tcPr>
            <w:tcW w:w="1550" w:type="dxa"/>
          </w:tcPr>
          <w:p w14:paraId="0877381F" w14:textId="799AC452" w:rsidR="00B1135B" w:rsidRDefault="00E57CF8">
            <w:r>
              <w:t xml:space="preserve">15 in </w:t>
            </w:r>
            <w:r w:rsidR="00B1135B">
              <w:t>OECD countries, 1960 to 2007</w:t>
            </w:r>
            <w:r>
              <w:t xml:space="preserve">, </w:t>
            </w:r>
          </w:p>
          <w:p w14:paraId="44844931" w14:textId="44443A23" w:rsidR="00E57CF8" w:rsidRDefault="00E57CF8"/>
        </w:tc>
      </w:tr>
      <w:tr w:rsidR="00B1135B" w14:paraId="238D01A8" w14:textId="77777777" w:rsidTr="006D7692">
        <w:tc>
          <w:tcPr>
            <w:tcW w:w="1618" w:type="dxa"/>
            <w:shd w:val="clear" w:color="auto" w:fill="FFFF00"/>
          </w:tcPr>
          <w:p w14:paraId="41EFA084" w14:textId="3F380ED0" w:rsidR="00B1135B" w:rsidRPr="006D7692" w:rsidRDefault="00B1135B">
            <w:r w:rsidRPr="006D7692">
              <w:t>US 2007</w:t>
            </w:r>
            <w:r w:rsidR="00712ADA" w:rsidRPr="006D7692">
              <w:rPr>
                <w:vertAlign w:val="superscript"/>
              </w:rPr>
              <w:t>3</w:t>
            </w:r>
          </w:p>
          <w:p w14:paraId="5DBD0892" w14:textId="77777777" w:rsidR="00ED0438" w:rsidRPr="006D7692" w:rsidRDefault="00ED0438"/>
          <w:p w14:paraId="5E669908" w14:textId="20EDCC22" w:rsidR="00ED0438" w:rsidRPr="006D7692" w:rsidRDefault="00ED0438"/>
        </w:tc>
        <w:tc>
          <w:tcPr>
            <w:tcW w:w="1617" w:type="dxa"/>
            <w:shd w:val="clear" w:color="auto" w:fill="FFFF00"/>
          </w:tcPr>
          <w:p w14:paraId="2109B501" w14:textId="6113D2CB" w:rsidR="00B1135B" w:rsidRPr="006D7692" w:rsidRDefault="00041964">
            <w:r w:rsidRPr="006D7692">
              <w:t>-5.25</w:t>
            </w:r>
            <w:r w:rsidR="006D7692">
              <w:t>%</w:t>
            </w:r>
            <w:r w:rsidR="00E57CF8" w:rsidRPr="006D7692">
              <w:t xml:space="preserve"> real GDP per capita</w:t>
            </w:r>
          </w:p>
        </w:tc>
        <w:tc>
          <w:tcPr>
            <w:tcW w:w="1467" w:type="dxa"/>
            <w:shd w:val="clear" w:color="auto" w:fill="FFFF00"/>
          </w:tcPr>
          <w:p w14:paraId="0C71ACD3" w14:textId="0142E652" w:rsidR="00B1135B" w:rsidRPr="006D7692" w:rsidRDefault="00DF136F" w:rsidP="00DF136F">
            <w:r w:rsidRPr="006D7692">
              <w:t>6</w:t>
            </w:r>
            <w:r w:rsidR="002F1D05" w:rsidRPr="006D7692">
              <w:t xml:space="preserve"> quarters</w:t>
            </w:r>
            <w:r w:rsidRPr="006D7692">
              <w:t xml:space="preserve"> (2007</w:t>
            </w:r>
            <w:r w:rsidR="002F1D05" w:rsidRPr="006D7692">
              <w:t>q</w:t>
            </w:r>
            <w:r w:rsidRPr="006D7692">
              <w:t>4</w:t>
            </w:r>
            <w:r w:rsidR="002F1D05" w:rsidRPr="006D7692">
              <w:t>-2009q2)</w:t>
            </w:r>
          </w:p>
        </w:tc>
        <w:tc>
          <w:tcPr>
            <w:tcW w:w="1544" w:type="dxa"/>
            <w:shd w:val="clear" w:color="auto" w:fill="FFFF00"/>
          </w:tcPr>
          <w:p w14:paraId="7FFFDCBC" w14:textId="7CB41C34" w:rsidR="00B1135B" w:rsidRPr="006D7692" w:rsidRDefault="00542BE2" w:rsidP="00DF136F">
            <w:r w:rsidRPr="006D7692">
              <w:t>22 quarters (2007q4-2013</w:t>
            </w:r>
            <w:r w:rsidR="00DF136F" w:rsidRPr="006D7692">
              <w:t>q2)</w:t>
            </w:r>
          </w:p>
        </w:tc>
        <w:tc>
          <w:tcPr>
            <w:tcW w:w="1554" w:type="dxa"/>
            <w:shd w:val="clear" w:color="auto" w:fill="FFFF00"/>
          </w:tcPr>
          <w:p w14:paraId="15C42072" w14:textId="37721DD7" w:rsidR="00B1135B" w:rsidRPr="00800E1B" w:rsidRDefault="00B1135B">
            <w:pPr>
              <w:rPr>
                <w:highlight w:val="lightGray"/>
              </w:rPr>
            </w:pPr>
          </w:p>
        </w:tc>
        <w:tc>
          <w:tcPr>
            <w:tcW w:w="1550" w:type="dxa"/>
            <w:shd w:val="clear" w:color="auto" w:fill="FFFF00"/>
          </w:tcPr>
          <w:p w14:paraId="201D6A8A" w14:textId="77777777" w:rsidR="00B1135B" w:rsidRPr="00800E1B" w:rsidRDefault="00B1135B">
            <w:pPr>
              <w:rPr>
                <w:highlight w:val="lightGray"/>
              </w:rPr>
            </w:pPr>
          </w:p>
        </w:tc>
      </w:tr>
    </w:tbl>
    <w:p w14:paraId="33B87A35" w14:textId="77777777" w:rsidR="00BD35E3" w:rsidRDefault="00BD35E3" w:rsidP="00BD35E3">
      <w:pPr>
        <w:spacing w:after="0"/>
      </w:pPr>
    </w:p>
    <w:p w14:paraId="7DFEE437" w14:textId="58B94893" w:rsidR="00BD35E3" w:rsidRPr="00BD35E3" w:rsidRDefault="005644B4" w:rsidP="005644B4">
      <w:pPr>
        <w:spacing w:after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Sources: Carmen Reinhart and Kenneth Rogoff, “Recovery from Financial Crises: Evidence from 100 Episodes,” </w:t>
      </w:r>
      <w:r>
        <w:rPr>
          <w:rFonts w:ascii="Arial" w:hAnsi="Arial" w:cs="Arial"/>
          <w:i/>
          <w:iCs/>
          <w:sz w:val="20"/>
          <w:szCs w:val="20"/>
        </w:rPr>
        <w:t>American Economic Review: Papers &amp; Proceedings</w:t>
      </w:r>
      <w:r>
        <w:rPr>
          <w:rFonts w:ascii="Arial" w:hAnsi="Arial" w:cs="Arial"/>
          <w:sz w:val="20"/>
          <w:szCs w:val="20"/>
        </w:rPr>
        <w:t xml:space="preserve"> 104(5) (2014): 50–55, https://scholar.harvard.edu/files/rogoff/files/aer_104-5_50-55.pdf; Bureau of Economic Analysis via Federal Reserve Economic Data (FRED); based on J. Nellie Liang, Margaret M. McConnell, and Phillip </w:t>
      </w:r>
      <w:proofErr w:type="spellStart"/>
      <w:r>
        <w:rPr>
          <w:rFonts w:ascii="Arial" w:hAnsi="Arial" w:cs="Arial"/>
          <w:sz w:val="20"/>
          <w:szCs w:val="20"/>
        </w:rPr>
        <w:t>Swagel</w:t>
      </w:r>
      <w:proofErr w:type="spellEnd"/>
      <w:r>
        <w:rPr>
          <w:rFonts w:ascii="Arial" w:hAnsi="Arial" w:cs="Arial"/>
          <w:sz w:val="20"/>
          <w:szCs w:val="20"/>
        </w:rPr>
        <w:t xml:space="preserve">, “Evidence on Outcomes,” in Ben S. Bernanke, Timothy F. Geithner, and Henry M. Paulson, Jr., with J. Nellie Liang, eds., </w:t>
      </w:r>
      <w:r>
        <w:rPr>
          <w:rFonts w:ascii="Arial" w:hAnsi="Arial" w:cs="Arial"/>
          <w:i/>
          <w:iCs/>
          <w:sz w:val="20"/>
          <w:szCs w:val="20"/>
        </w:rPr>
        <w:t>First Responders: Inside the U.S. Strategy for Fighting the 2007–2009 Global Financial Crisis</w:t>
      </w:r>
      <w:r>
        <w:rPr>
          <w:rFonts w:ascii="Arial" w:hAnsi="Arial" w:cs="Arial"/>
          <w:sz w:val="20"/>
          <w:szCs w:val="20"/>
        </w:rPr>
        <w:t xml:space="preserve"> (New Haven: Yale University Press, 2020)</w:t>
      </w:r>
      <w:bookmarkStart w:id="0" w:name="_GoBack"/>
      <w:bookmarkEnd w:id="0"/>
    </w:p>
    <w:sectPr w:rsidR="00BD35E3" w:rsidRPr="00BD3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645F2"/>
    <w:multiLevelType w:val="hybridMultilevel"/>
    <w:tmpl w:val="EE8C1D24"/>
    <w:lvl w:ilvl="0" w:tplc="44447B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35B"/>
    <w:rsid w:val="00041964"/>
    <w:rsid w:val="000D7F85"/>
    <w:rsid w:val="001D48EE"/>
    <w:rsid w:val="001F2B73"/>
    <w:rsid w:val="002F1D05"/>
    <w:rsid w:val="00446C68"/>
    <w:rsid w:val="00542BE2"/>
    <w:rsid w:val="005644B4"/>
    <w:rsid w:val="006D7692"/>
    <w:rsid w:val="00712ADA"/>
    <w:rsid w:val="00800E1B"/>
    <w:rsid w:val="00854BFF"/>
    <w:rsid w:val="00907D27"/>
    <w:rsid w:val="00A710E1"/>
    <w:rsid w:val="00AE02A5"/>
    <w:rsid w:val="00B1135B"/>
    <w:rsid w:val="00B41F67"/>
    <w:rsid w:val="00BD35E3"/>
    <w:rsid w:val="00CD31DE"/>
    <w:rsid w:val="00DF136F"/>
    <w:rsid w:val="00E57CF8"/>
    <w:rsid w:val="00ED0438"/>
    <w:rsid w:val="00EE55B8"/>
    <w:rsid w:val="00FB775A"/>
    <w:rsid w:val="00FE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A6CD3"/>
  <w15:chartTrackingRefBased/>
  <w15:docId w15:val="{99516C5C-F45E-4C00-97BD-633DE16F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02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2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Nellie Liang</dc:creator>
  <cp:keywords/>
  <dc:description/>
  <cp:lastModifiedBy>Lawson, Aidan</cp:lastModifiedBy>
  <cp:revision>3</cp:revision>
  <dcterms:created xsi:type="dcterms:W3CDTF">2020-01-28T19:57:00Z</dcterms:created>
  <dcterms:modified xsi:type="dcterms:W3CDTF">2020-01-29T14:53:00Z</dcterms:modified>
</cp:coreProperties>
</file>